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F3B0" w14:textId="446C7299" w:rsidR="00737E05" w:rsidRPr="00E65DDD" w:rsidRDefault="00375DB6" w:rsidP="00E65DDD">
      <w:pPr>
        <w:shd w:val="clear" w:color="auto" w:fill="FFF2CC" w:themeFill="accent4" w:themeFillTint="3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DDD">
        <w:rPr>
          <w:rFonts w:ascii="Times New Roman" w:hAnsi="Times New Roman" w:cs="Times New Roman"/>
          <w:sz w:val="28"/>
          <w:szCs w:val="28"/>
        </w:rPr>
        <w:t>Ankieta</w:t>
      </w:r>
      <w:r w:rsidR="00475814" w:rsidRPr="00E65DDD">
        <w:rPr>
          <w:rFonts w:ascii="Times New Roman" w:hAnsi="Times New Roman" w:cs="Times New Roman"/>
          <w:sz w:val="28"/>
          <w:szCs w:val="28"/>
        </w:rPr>
        <w:t xml:space="preserve"> – Plan komunikacji</w:t>
      </w:r>
    </w:p>
    <w:p w14:paraId="222B14C5" w14:textId="77777777" w:rsidR="00E65DDD" w:rsidRPr="00E65DDD" w:rsidRDefault="00E65DDD" w:rsidP="0047581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32B7C7E" w14:textId="77777777" w:rsidR="00E65DDD" w:rsidRPr="00C74F90" w:rsidRDefault="00E65DDD" w:rsidP="00E65DD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2410"/>
        <w:gridCol w:w="2693"/>
        <w:gridCol w:w="1985"/>
      </w:tblGrid>
      <w:tr w:rsidR="00375DB6" w:rsidRPr="00375DB6" w14:paraId="3777CC82" w14:textId="77777777" w:rsidTr="00475814">
        <w:tc>
          <w:tcPr>
            <w:tcW w:w="2410" w:type="dxa"/>
            <w:shd w:val="clear" w:color="auto" w:fill="D0CECE" w:themeFill="background2" w:themeFillShade="E6"/>
          </w:tcPr>
          <w:p w14:paraId="1DD421CE" w14:textId="77777777" w:rsidR="00375DB6" w:rsidRPr="00375DB6" w:rsidRDefault="00375DB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Cel komunikacji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192A7A3C" w14:textId="77777777" w:rsidR="00375DB6" w:rsidRPr="00375DB6" w:rsidRDefault="00375DB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Adresaci działania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0DA02059" w14:textId="77777777" w:rsidR="00375DB6" w:rsidRPr="00375DB6" w:rsidRDefault="00375DB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Środki przekazu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5305B3EC" w14:textId="77777777" w:rsidR="00375DB6" w:rsidRPr="00375DB6" w:rsidRDefault="00375DB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 xml:space="preserve">Wskaźniki  środka przekazu   </w:t>
            </w:r>
          </w:p>
          <w:p w14:paraId="1CD44A6A" w14:textId="77777777" w:rsidR="00375DB6" w:rsidRPr="00375DB6" w:rsidRDefault="00375DB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i jego wartość liczbowa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17378AA5" w14:textId="77777777" w:rsidR="00375DB6" w:rsidRPr="00375DB6" w:rsidRDefault="00375DB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Wskaźnik efektu i jego wartość liczbowa</w:t>
            </w:r>
          </w:p>
        </w:tc>
      </w:tr>
      <w:tr w:rsidR="00375DB6" w:rsidRPr="00375DB6" w14:paraId="4E36DB93" w14:textId="77777777" w:rsidTr="00375DB6">
        <w:tc>
          <w:tcPr>
            <w:tcW w:w="14034" w:type="dxa"/>
            <w:gridSpan w:val="5"/>
            <w:shd w:val="clear" w:color="auto" w:fill="C5E0B3" w:themeFill="accent6" w:themeFillTint="66"/>
          </w:tcPr>
          <w:p w14:paraId="1052A955" w14:textId="7013A3E0" w:rsidR="00375DB6" w:rsidRPr="00375DB6" w:rsidRDefault="00375DB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t>Kampania otwarcia</w:t>
            </w:r>
          </w:p>
        </w:tc>
      </w:tr>
      <w:tr w:rsidR="00252696" w:rsidRPr="00375DB6" w14:paraId="7207B9AD" w14:textId="77777777" w:rsidTr="00475814">
        <w:tc>
          <w:tcPr>
            <w:tcW w:w="2410" w:type="dxa"/>
            <w:vMerge w:val="restart"/>
          </w:tcPr>
          <w:p w14:paraId="75D5224F" w14:textId="76BAF0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bookmarkStart w:id="0" w:name="_Hlk128125440"/>
            <w:r w:rsidRPr="00375DB6">
              <w:rPr>
                <w:rFonts w:ascii="Times New Roman" w:eastAsia="Calibri" w:hAnsi="Times New Roman" w:cs="Times New Roman"/>
                <w:color w:val="1F497D"/>
              </w:rPr>
              <w:t>Poinformowanie o rozpoczęciu wdrażania LSR i LGD</w:t>
            </w:r>
            <w:bookmarkEnd w:id="0"/>
          </w:p>
        </w:tc>
        <w:tc>
          <w:tcPr>
            <w:tcW w:w="4536" w:type="dxa"/>
          </w:tcPr>
          <w:p w14:paraId="5ED56663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Mieszkańcy obszaru, organizacje pozarządowe, lokalni przedsiębiorcy, jednostki sektora finansów publicznych, lokalne media, lokalni liderzy.</w:t>
            </w:r>
          </w:p>
        </w:tc>
        <w:tc>
          <w:tcPr>
            <w:tcW w:w="2410" w:type="dxa"/>
          </w:tcPr>
          <w:p w14:paraId="3BC5DACD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Spotkanie bezpośrednie</w:t>
            </w:r>
          </w:p>
        </w:tc>
        <w:tc>
          <w:tcPr>
            <w:tcW w:w="2693" w:type="dxa"/>
          </w:tcPr>
          <w:p w14:paraId="3067C776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1 konferencja otwarcia</w:t>
            </w:r>
          </w:p>
        </w:tc>
        <w:tc>
          <w:tcPr>
            <w:tcW w:w="1985" w:type="dxa"/>
          </w:tcPr>
          <w:p w14:paraId="185BBD4E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40 uczestników</w:t>
            </w:r>
          </w:p>
        </w:tc>
      </w:tr>
      <w:tr w:rsidR="00252696" w:rsidRPr="00375DB6" w14:paraId="6EF0D6A8" w14:textId="77777777" w:rsidTr="00475814">
        <w:tc>
          <w:tcPr>
            <w:tcW w:w="2410" w:type="dxa"/>
            <w:vMerge/>
          </w:tcPr>
          <w:p w14:paraId="00BE6D37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</w:tcPr>
          <w:p w14:paraId="0EE0C0A2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Radni, kierownicy jednostek organizacyjnych, sołtysi, uczestnicy posiedzeń organów uchwałodawczych gmin i powiatu.</w:t>
            </w:r>
          </w:p>
        </w:tc>
        <w:tc>
          <w:tcPr>
            <w:tcW w:w="2410" w:type="dxa"/>
          </w:tcPr>
          <w:p w14:paraId="5F4AC9F3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Spotkanie bezpośrednie</w:t>
            </w:r>
          </w:p>
        </w:tc>
        <w:tc>
          <w:tcPr>
            <w:tcW w:w="2693" w:type="dxa"/>
          </w:tcPr>
          <w:p w14:paraId="53324F39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6 prezentacji podczas posiedzeń rad gmin i powiatu</w:t>
            </w:r>
          </w:p>
        </w:tc>
        <w:tc>
          <w:tcPr>
            <w:tcW w:w="1985" w:type="dxa"/>
          </w:tcPr>
          <w:p w14:paraId="4C161B11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120</w:t>
            </w:r>
          </w:p>
        </w:tc>
      </w:tr>
      <w:tr w:rsidR="00375DB6" w:rsidRPr="00375DB6" w14:paraId="7747A6F7" w14:textId="77777777" w:rsidTr="00475814">
        <w:tc>
          <w:tcPr>
            <w:tcW w:w="2410" w:type="dxa"/>
          </w:tcPr>
          <w:p w14:paraId="30DE666A" w14:textId="77777777" w:rsidR="00375DB6" w:rsidRP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Poinformowanie o podstawowych zasadach wdrażania LSR</w:t>
            </w:r>
          </w:p>
        </w:tc>
        <w:tc>
          <w:tcPr>
            <w:tcW w:w="4536" w:type="dxa"/>
          </w:tcPr>
          <w:p w14:paraId="5FEEC611" w14:textId="77777777" w:rsidR="00375DB6" w:rsidRP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Mieszkańcy obszaru, organizacje pozarządowe, lokalni przedsiębiorcy, jednostki sektora finansów publicznych.</w:t>
            </w:r>
          </w:p>
        </w:tc>
        <w:tc>
          <w:tcPr>
            <w:tcW w:w="2410" w:type="dxa"/>
          </w:tcPr>
          <w:p w14:paraId="66315F7A" w14:textId="77777777" w:rsidR="00375DB6" w:rsidRP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 xml:space="preserve">Komunikacja masowa </w:t>
            </w:r>
          </w:p>
        </w:tc>
        <w:tc>
          <w:tcPr>
            <w:tcW w:w="2693" w:type="dxa"/>
          </w:tcPr>
          <w:p w14:paraId="0F28BB57" w14:textId="77777777" w:rsidR="00375DB6" w:rsidRP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 xml:space="preserve">1 numer Biuletynu LGD </w:t>
            </w:r>
          </w:p>
          <w:p w14:paraId="28A7C14A" w14:textId="77777777" w:rsidR="00375DB6" w:rsidRP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1 audycja radiowa</w:t>
            </w:r>
          </w:p>
          <w:p w14:paraId="46AEEEB4" w14:textId="77777777" w:rsidR="00375DB6" w:rsidRP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1 prezentacja elektroniczna</w:t>
            </w:r>
          </w:p>
          <w:p w14:paraId="4008396C" w14:textId="77777777" w:rsidR="00375DB6" w:rsidRP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1985" w:type="dxa"/>
          </w:tcPr>
          <w:p w14:paraId="168FA965" w14:textId="77777777" w:rsidR="00375DB6" w:rsidRPr="00375DB6" w:rsidRDefault="00375DB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10 000 osób poinformowanych</w:t>
            </w:r>
          </w:p>
        </w:tc>
      </w:tr>
      <w:tr w:rsidR="000C4903" w:rsidRPr="00375DB6" w14:paraId="7672B70B" w14:textId="77777777" w:rsidTr="000C4903">
        <w:tc>
          <w:tcPr>
            <w:tcW w:w="14034" w:type="dxa"/>
            <w:gridSpan w:val="5"/>
            <w:shd w:val="clear" w:color="auto" w:fill="BDD6EE" w:themeFill="accent5" w:themeFillTint="66"/>
          </w:tcPr>
          <w:p w14:paraId="061BE026" w14:textId="5A12F95B" w:rsidR="000C4903" w:rsidRPr="00375DB6" w:rsidRDefault="000C4903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>Uwagi</w:t>
            </w:r>
          </w:p>
        </w:tc>
      </w:tr>
      <w:tr w:rsidR="00375DB6" w:rsidRPr="00375DB6" w14:paraId="190EEA79" w14:textId="77777777" w:rsidTr="00475814">
        <w:tc>
          <w:tcPr>
            <w:tcW w:w="2410" w:type="dxa"/>
            <w:shd w:val="clear" w:color="auto" w:fill="DEEAF6" w:themeFill="accent5" w:themeFillTint="33"/>
          </w:tcPr>
          <w:p w14:paraId="5C61E289" w14:textId="77777777" w:rsid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74535D07" w14:textId="77777777" w:rsid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489358DC" w14:textId="77777777" w:rsid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3215BFAE" w14:textId="77777777" w:rsid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1BDC4618" w14:textId="77777777" w:rsid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4555286C" w14:textId="0F75236A" w:rsidR="00475814" w:rsidRPr="00375DB6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  <w:shd w:val="clear" w:color="auto" w:fill="DEEAF6" w:themeFill="accent5" w:themeFillTint="33"/>
          </w:tcPr>
          <w:p w14:paraId="56BE0471" w14:textId="77777777" w:rsid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45031864" w14:textId="77777777" w:rsidR="00C74F90" w:rsidRDefault="00C74F90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7642177B" w14:textId="77777777" w:rsidR="00C74F90" w:rsidRDefault="00C74F90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AD5FD5A" w14:textId="77777777" w:rsidR="00C74F90" w:rsidRDefault="00C74F90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04E398C" w14:textId="77777777" w:rsidR="00C74F90" w:rsidRDefault="00C74F90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7C0B3C01" w14:textId="77777777" w:rsidR="00C74F90" w:rsidRDefault="00C74F90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28B299F9" w14:textId="77777777" w:rsidR="00E02EA7" w:rsidRDefault="00E02EA7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4609C6B" w14:textId="77777777" w:rsidR="00E02EA7" w:rsidRDefault="00E02EA7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47AB5199" w14:textId="77777777" w:rsidR="00E02EA7" w:rsidRDefault="00E02EA7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EFC8B14" w14:textId="5609F856" w:rsidR="00C74F90" w:rsidRPr="00375DB6" w:rsidRDefault="00C74F90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697061EB" w14:textId="77777777" w:rsidR="00375DB6" w:rsidRP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14:paraId="176964B1" w14:textId="77777777" w:rsidR="00375DB6" w:rsidRP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14:paraId="4148987E" w14:textId="77777777" w:rsidR="00375DB6" w:rsidRPr="00375DB6" w:rsidRDefault="00375DB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</w:p>
        </w:tc>
      </w:tr>
      <w:tr w:rsidR="00375DB6" w:rsidRPr="00375DB6" w14:paraId="3F6E19EC" w14:textId="77777777" w:rsidTr="00375DB6">
        <w:tc>
          <w:tcPr>
            <w:tcW w:w="14034" w:type="dxa"/>
            <w:gridSpan w:val="5"/>
            <w:shd w:val="clear" w:color="auto" w:fill="C5E0B3" w:themeFill="accent6" w:themeFillTint="66"/>
          </w:tcPr>
          <w:p w14:paraId="3A03D0CD" w14:textId="587356C6" w:rsidR="00375DB6" w:rsidRPr="00375DB6" w:rsidRDefault="00375DB6" w:rsidP="004758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lastRenderedPageBreak/>
              <w:t>Kampania promocyjna</w:t>
            </w:r>
          </w:p>
        </w:tc>
      </w:tr>
      <w:tr w:rsidR="00252696" w:rsidRPr="00375DB6" w14:paraId="544B1BDE" w14:textId="77777777" w:rsidTr="00475814">
        <w:tc>
          <w:tcPr>
            <w:tcW w:w="2410" w:type="dxa"/>
            <w:vMerge w:val="restart"/>
          </w:tcPr>
          <w:p w14:paraId="4F9FEF5E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Promocja LGD i LSR, w tym informowanie o bieżącej działalności LGD</w:t>
            </w:r>
          </w:p>
        </w:tc>
        <w:tc>
          <w:tcPr>
            <w:tcW w:w="4536" w:type="dxa"/>
          </w:tcPr>
          <w:p w14:paraId="5BCBDD78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Mieszkańcy obszaru, organizacje pozarządowe, lokalni przedsiębiorcy, jednostki sektora finansów publicznych.</w:t>
            </w:r>
          </w:p>
        </w:tc>
        <w:tc>
          <w:tcPr>
            <w:tcW w:w="2410" w:type="dxa"/>
          </w:tcPr>
          <w:p w14:paraId="36FC3330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Komunikacja masowa</w:t>
            </w:r>
          </w:p>
        </w:tc>
        <w:tc>
          <w:tcPr>
            <w:tcW w:w="2693" w:type="dxa"/>
          </w:tcPr>
          <w:p w14:paraId="0444962D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1 strona internetowa</w:t>
            </w:r>
          </w:p>
          <w:p w14:paraId="6A2D8B4B" w14:textId="77777777" w:rsidR="008E41A1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 xml:space="preserve">1 </w:t>
            </w:r>
            <w:proofErr w:type="spellStart"/>
            <w:r w:rsidRPr="00375DB6">
              <w:rPr>
                <w:rFonts w:ascii="Times New Roman" w:eastAsia="Calibri" w:hAnsi="Times New Roman" w:cs="Times New Roman"/>
                <w:color w:val="1F497D"/>
              </w:rPr>
              <w:t>fanp</w:t>
            </w:r>
            <w:r w:rsidR="0095301F">
              <w:rPr>
                <w:rFonts w:ascii="Times New Roman" w:eastAsia="Calibri" w:hAnsi="Times New Roman" w:cs="Times New Roman"/>
                <w:color w:val="1F497D"/>
              </w:rPr>
              <w:t>a</w:t>
            </w:r>
            <w:proofErr w:type="spellEnd"/>
          </w:p>
          <w:p w14:paraId="5641F8BD" w14:textId="115E4FF1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proofErr w:type="spellStart"/>
            <w:r w:rsidRPr="00375DB6">
              <w:rPr>
                <w:rFonts w:ascii="Times New Roman" w:eastAsia="Calibri" w:hAnsi="Times New Roman" w:cs="Times New Roman"/>
                <w:color w:val="1F497D"/>
              </w:rPr>
              <w:t>ge</w:t>
            </w:r>
            <w:proofErr w:type="spellEnd"/>
            <w:r w:rsidRPr="00375DB6">
              <w:rPr>
                <w:rFonts w:ascii="Times New Roman" w:eastAsia="Calibri" w:hAnsi="Times New Roman" w:cs="Times New Roman"/>
                <w:color w:val="1F497D"/>
              </w:rPr>
              <w:t xml:space="preserve"> FB</w:t>
            </w:r>
          </w:p>
          <w:p w14:paraId="3BF053EF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1 newsletter (co 2 miesiące)</w:t>
            </w:r>
          </w:p>
        </w:tc>
        <w:tc>
          <w:tcPr>
            <w:tcW w:w="1985" w:type="dxa"/>
          </w:tcPr>
          <w:p w14:paraId="0DD0D989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</w:p>
        </w:tc>
      </w:tr>
      <w:tr w:rsidR="00252696" w:rsidRPr="00375DB6" w14:paraId="0C32B93D" w14:textId="77777777" w:rsidTr="00475814">
        <w:tc>
          <w:tcPr>
            <w:tcW w:w="2410" w:type="dxa"/>
            <w:vMerge/>
          </w:tcPr>
          <w:p w14:paraId="1E63363C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</w:tcPr>
          <w:p w14:paraId="10667211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Mieszkańcy obszaru, organizacje pozarządowe, lokalni przedsiębiorcy, jednostki sektora finansów publicznych.</w:t>
            </w:r>
          </w:p>
        </w:tc>
        <w:tc>
          <w:tcPr>
            <w:tcW w:w="2410" w:type="dxa"/>
          </w:tcPr>
          <w:p w14:paraId="4532C347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Publikacje</w:t>
            </w:r>
          </w:p>
        </w:tc>
        <w:tc>
          <w:tcPr>
            <w:tcW w:w="2693" w:type="dxa"/>
          </w:tcPr>
          <w:p w14:paraId="477A511C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1 numer Biuletynu LGD (co 6 m-</w:t>
            </w:r>
            <w:proofErr w:type="spellStart"/>
            <w:r w:rsidRPr="00375DB6">
              <w:rPr>
                <w:rFonts w:ascii="Times New Roman" w:eastAsia="Calibri" w:hAnsi="Times New Roman" w:cs="Times New Roman"/>
                <w:color w:val="1F497D"/>
              </w:rPr>
              <w:t>cy</w:t>
            </w:r>
            <w:proofErr w:type="spellEnd"/>
            <w:r w:rsidRPr="00375DB6">
              <w:rPr>
                <w:rFonts w:ascii="Times New Roman" w:eastAsia="Calibri" w:hAnsi="Times New Roman" w:cs="Times New Roman"/>
                <w:color w:val="1F497D"/>
              </w:rPr>
              <w:t>)</w:t>
            </w:r>
          </w:p>
        </w:tc>
        <w:tc>
          <w:tcPr>
            <w:tcW w:w="1985" w:type="dxa"/>
          </w:tcPr>
          <w:p w14:paraId="3A86829A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</w:p>
        </w:tc>
      </w:tr>
      <w:tr w:rsidR="00252696" w:rsidRPr="00375DB6" w14:paraId="450480D9" w14:textId="77777777" w:rsidTr="00475814">
        <w:tc>
          <w:tcPr>
            <w:tcW w:w="2410" w:type="dxa"/>
            <w:vMerge/>
          </w:tcPr>
          <w:p w14:paraId="3D18FE61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</w:tcPr>
          <w:p w14:paraId="72365D4E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Grupa w szczególnej sytuacji - ludzie młodzi do 25 roku życia</w:t>
            </w:r>
          </w:p>
        </w:tc>
        <w:tc>
          <w:tcPr>
            <w:tcW w:w="2410" w:type="dxa"/>
          </w:tcPr>
          <w:p w14:paraId="2AA67DD0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Spotkania bezpośrednie</w:t>
            </w:r>
          </w:p>
        </w:tc>
        <w:tc>
          <w:tcPr>
            <w:tcW w:w="2693" w:type="dxa"/>
          </w:tcPr>
          <w:p w14:paraId="50356483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3 spotkania w szkołach ponadpodstawowych</w:t>
            </w:r>
          </w:p>
        </w:tc>
        <w:tc>
          <w:tcPr>
            <w:tcW w:w="1985" w:type="dxa"/>
          </w:tcPr>
          <w:p w14:paraId="2B5DC82A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45 osób poinformowanych</w:t>
            </w:r>
          </w:p>
        </w:tc>
      </w:tr>
      <w:tr w:rsidR="00252696" w:rsidRPr="00375DB6" w14:paraId="3C00087A" w14:textId="77777777" w:rsidTr="00475814">
        <w:tc>
          <w:tcPr>
            <w:tcW w:w="2410" w:type="dxa"/>
            <w:vMerge/>
          </w:tcPr>
          <w:p w14:paraId="382E4EB6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</w:tcPr>
          <w:p w14:paraId="69CEDB01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Grupa w szczególnej sytuacji - seniorzy po 60 roku życia</w:t>
            </w:r>
          </w:p>
        </w:tc>
        <w:tc>
          <w:tcPr>
            <w:tcW w:w="2410" w:type="dxa"/>
          </w:tcPr>
          <w:p w14:paraId="3FB49DE3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Spotkania bezpośrednie</w:t>
            </w:r>
          </w:p>
        </w:tc>
        <w:tc>
          <w:tcPr>
            <w:tcW w:w="2693" w:type="dxa"/>
          </w:tcPr>
          <w:p w14:paraId="0F19F638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2 spotkania otwarte</w:t>
            </w:r>
          </w:p>
        </w:tc>
        <w:tc>
          <w:tcPr>
            <w:tcW w:w="1985" w:type="dxa"/>
          </w:tcPr>
          <w:p w14:paraId="72077345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30 osób poinformowanych</w:t>
            </w:r>
          </w:p>
        </w:tc>
      </w:tr>
      <w:tr w:rsidR="00252696" w:rsidRPr="00375DB6" w14:paraId="538703EA" w14:textId="77777777" w:rsidTr="00475814">
        <w:tc>
          <w:tcPr>
            <w:tcW w:w="2410" w:type="dxa"/>
            <w:vMerge/>
          </w:tcPr>
          <w:p w14:paraId="2AB66299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</w:tcPr>
          <w:p w14:paraId="13A0A481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Mieszkańcy, uczestnicy imprez masowych</w:t>
            </w:r>
          </w:p>
        </w:tc>
        <w:tc>
          <w:tcPr>
            <w:tcW w:w="2410" w:type="dxa"/>
          </w:tcPr>
          <w:p w14:paraId="14D3AE40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Spotkania bezpośrednie – punkt informacyjny</w:t>
            </w:r>
          </w:p>
        </w:tc>
        <w:tc>
          <w:tcPr>
            <w:tcW w:w="2693" w:type="dxa"/>
          </w:tcPr>
          <w:p w14:paraId="17D0885F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5 spotkań (po 1 w każdej gminie)</w:t>
            </w:r>
          </w:p>
        </w:tc>
        <w:tc>
          <w:tcPr>
            <w:tcW w:w="1985" w:type="dxa"/>
          </w:tcPr>
          <w:p w14:paraId="360C640D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75 osób poinformowanych</w:t>
            </w:r>
          </w:p>
        </w:tc>
      </w:tr>
      <w:tr w:rsidR="00252696" w:rsidRPr="00375DB6" w14:paraId="578DE5FF" w14:textId="77777777" w:rsidTr="00475814">
        <w:tc>
          <w:tcPr>
            <w:tcW w:w="2410" w:type="dxa"/>
            <w:vMerge/>
          </w:tcPr>
          <w:p w14:paraId="191661A9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</w:tcPr>
          <w:p w14:paraId="350308D2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Mieszkańcy obszaru, organizacje pozarządowe, lokalni przedsiębiorcy, jednostki sektora finansów publicznych.</w:t>
            </w:r>
          </w:p>
        </w:tc>
        <w:tc>
          <w:tcPr>
            <w:tcW w:w="2410" w:type="dxa"/>
          </w:tcPr>
          <w:p w14:paraId="507638C7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Spotkania indywidualne i bezpośrednie w Biurze LGD</w:t>
            </w:r>
          </w:p>
        </w:tc>
        <w:tc>
          <w:tcPr>
            <w:tcW w:w="2693" w:type="dxa"/>
          </w:tcPr>
          <w:p w14:paraId="626D17FC" w14:textId="1FE1F725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 xml:space="preserve">1 Biuro LGD, 2 pracowników </w:t>
            </w:r>
          </w:p>
        </w:tc>
        <w:tc>
          <w:tcPr>
            <w:tcW w:w="1985" w:type="dxa"/>
          </w:tcPr>
          <w:p w14:paraId="0E3E1BC1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Odpowiednio do ilości zainteresowanych</w:t>
            </w:r>
          </w:p>
        </w:tc>
      </w:tr>
      <w:tr w:rsidR="000C4903" w:rsidRPr="00375DB6" w14:paraId="5B60DD28" w14:textId="77777777" w:rsidTr="000C4903">
        <w:tc>
          <w:tcPr>
            <w:tcW w:w="14034" w:type="dxa"/>
            <w:gridSpan w:val="5"/>
            <w:shd w:val="clear" w:color="auto" w:fill="BDD6EE" w:themeFill="accent5" w:themeFillTint="66"/>
          </w:tcPr>
          <w:p w14:paraId="0232367C" w14:textId="33D83FB5" w:rsidR="000C4903" w:rsidRPr="00375DB6" w:rsidRDefault="000C4903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>Uwagi</w:t>
            </w:r>
          </w:p>
        </w:tc>
      </w:tr>
      <w:tr w:rsidR="00375DB6" w:rsidRPr="00375DB6" w14:paraId="1C608E1D" w14:textId="77777777" w:rsidTr="00475814">
        <w:tc>
          <w:tcPr>
            <w:tcW w:w="2410" w:type="dxa"/>
            <w:shd w:val="clear" w:color="auto" w:fill="DEEAF6" w:themeFill="accent5" w:themeFillTint="33"/>
          </w:tcPr>
          <w:p w14:paraId="4F748BF4" w14:textId="77777777" w:rsidR="00375DB6" w:rsidRDefault="00375DB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736AAB4D" w14:textId="77777777" w:rsidR="00375DB6" w:rsidRDefault="00375DB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B1179C1" w14:textId="77777777" w:rsidR="00375DB6" w:rsidRDefault="00375DB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51FD413" w14:textId="77777777" w:rsidR="00375DB6" w:rsidRDefault="00375DB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FBD0E66" w14:textId="77777777" w:rsidR="00375DB6" w:rsidRDefault="00375DB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755602B" w14:textId="77777777" w:rsidR="00375DB6" w:rsidRDefault="00375DB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1AE5A01E" w14:textId="77777777" w:rsidR="00375DB6" w:rsidRDefault="00375DB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287662E" w14:textId="77777777" w:rsidR="00375DB6" w:rsidRDefault="00375DB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8423B62" w14:textId="77777777" w:rsidR="00375DB6" w:rsidRDefault="00375DB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5CF6A71" w14:textId="1F67B2C7" w:rsidR="00375DB6" w:rsidRPr="00375DB6" w:rsidRDefault="00375DB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  <w:shd w:val="clear" w:color="auto" w:fill="DEEAF6" w:themeFill="accent5" w:themeFillTint="33"/>
          </w:tcPr>
          <w:p w14:paraId="01332FEB" w14:textId="77777777" w:rsidR="00375DB6" w:rsidRP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6A83ECB3" w14:textId="77777777" w:rsid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78402F30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4B835FCF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26D97A5D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30D005D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3E95B61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26BE4C93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3FFE5898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F271F65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69E3B83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3133ACEB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23C20D0F" w14:textId="25449F41" w:rsidR="00475814" w:rsidRPr="00375DB6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14:paraId="5E5B2A3A" w14:textId="77777777" w:rsid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5FFD8254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432A869F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49E32CF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3340B873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36188344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2C2EABF7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18E0AD88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5993D10D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66323C8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22770DA0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67BC540" w14:textId="24606E60" w:rsidR="00475814" w:rsidRPr="00375DB6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14:paraId="354B148F" w14:textId="77777777" w:rsidR="00375DB6" w:rsidRPr="00375DB6" w:rsidRDefault="00375DB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</w:p>
        </w:tc>
      </w:tr>
      <w:tr w:rsidR="00375DB6" w:rsidRPr="00375DB6" w14:paraId="038E2C74" w14:textId="77777777" w:rsidTr="00375DB6">
        <w:tc>
          <w:tcPr>
            <w:tcW w:w="14034" w:type="dxa"/>
            <w:gridSpan w:val="5"/>
            <w:shd w:val="clear" w:color="auto" w:fill="C5E0B3" w:themeFill="accent6" w:themeFillTint="66"/>
          </w:tcPr>
          <w:p w14:paraId="6C408DD6" w14:textId="00BC59A4" w:rsidR="00375DB6" w:rsidRPr="00375DB6" w:rsidRDefault="00375DB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lastRenderedPageBreak/>
              <w:t>Kampania informacyjna w okresie naborów</w:t>
            </w:r>
          </w:p>
        </w:tc>
      </w:tr>
      <w:tr w:rsidR="00252696" w:rsidRPr="00375DB6" w14:paraId="7948F36B" w14:textId="77777777" w:rsidTr="00475814">
        <w:tc>
          <w:tcPr>
            <w:tcW w:w="2410" w:type="dxa"/>
            <w:vMerge w:val="restart"/>
          </w:tcPr>
          <w:p w14:paraId="6E4BE28E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Przekazywanie dokładnych informacji o warunkach i zasadach przyznawania pomocy</w:t>
            </w:r>
          </w:p>
        </w:tc>
        <w:tc>
          <w:tcPr>
            <w:tcW w:w="4536" w:type="dxa"/>
          </w:tcPr>
          <w:p w14:paraId="4AAE5318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 xml:space="preserve">Potencjalni beneficjenci - mieszkańcy obszaru, organizacje pozarządowe, lokalni przedsiębiorcy, jednostki sektora finansów publicznych – odpowiednio do zakresu konkursu </w:t>
            </w:r>
          </w:p>
        </w:tc>
        <w:tc>
          <w:tcPr>
            <w:tcW w:w="2410" w:type="dxa"/>
          </w:tcPr>
          <w:p w14:paraId="1CB6A58C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Internet</w:t>
            </w:r>
          </w:p>
        </w:tc>
        <w:tc>
          <w:tcPr>
            <w:tcW w:w="2693" w:type="dxa"/>
          </w:tcPr>
          <w:p w14:paraId="25F9BFEE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1 ogłoszenie na stronie internetowej LGD</w:t>
            </w:r>
          </w:p>
          <w:p w14:paraId="7944DFA7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 xml:space="preserve">1 informacja na </w:t>
            </w:r>
            <w:proofErr w:type="spellStart"/>
            <w:r w:rsidRPr="00375DB6">
              <w:rPr>
                <w:rFonts w:ascii="Times New Roman" w:eastAsia="Calibri" w:hAnsi="Times New Roman" w:cs="Times New Roman"/>
                <w:color w:val="1F497D"/>
              </w:rPr>
              <w:t>fanpage’u</w:t>
            </w:r>
            <w:proofErr w:type="spellEnd"/>
            <w:r w:rsidRPr="00375DB6">
              <w:rPr>
                <w:rFonts w:ascii="Times New Roman" w:eastAsia="Calibri" w:hAnsi="Times New Roman" w:cs="Times New Roman"/>
                <w:color w:val="1F497D"/>
              </w:rPr>
              <w:t xml:space="preserve"> LGD</w:t>
            </w:r>
          </w:p>
        </w:tc>
        <w:tc>
          <w:tcPr>
            <w:tcW w:w="1985" w:type="dxa"/>
          </w:tcPr>
          <w:p w14:paraId="624513D5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Odpowiednio do zasięgu mediów elektronicznych.</w:t>
            </w:r>
          </w:p>
        </w:tc>
      </w:tr>
      <w:tr w:rsidR="00252696" w:rsidRPr="00375DB6" w14:paraId="3EE1C9DB" w14:textId="77777777" w:rsidTr="00475814">
        <w:tc>
          <w:tcPr>
            <w:tcW w:w="2410" w:type="dxa"/>
            <w:vMerge/>
          </w:tcPr>
          <w:p w14:paraId="2699FAE9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</w:tcPr>
          <w:p w14:paraId="11824D55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Potencjalni beneficjenci</w:t>
            </w:r>
          </w:p>
        </w:tc>
        <w:tc>
          <w:tcPr>
            <w:tcW w:w="2410" w:type="dxa"/>
          </w:tcPr>
          <w:p w14:paraId="4EDD5E90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Szkolenie stacjonarne – odpowiednio do zakresu konkursu      lub online</w:t>
            </w:r>
          </w:p>
        </w:tc>
        <w:tc>
          <w:tcPr>
            <w:tcW w:w="2693" w:type="dxa"/>
          </w:tcPr>
          <w:p w14:paraId="1D81AC5B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 xml:space="preserve">1 szkolenie </w:t>
            </w:r>
          </w:p>
        </w:tc>
        <w:tc>
          <w:tcPr>
            <w:tcW w:w="1985" w:type="dxa"/>
          </w:tcPr>
          <w:p w14:paraId="12BDE412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Odpowiednio do ilości zainteresowanych</w:t>
            </w:r>
          </w:p>
        </w:tc>
      </w:tr>
      <w:tr w:rsidR="00252696" w:rsidRPr="00375DB6" w14:paraId="1C13ED05" w14:textId="77777777" w:rsidTr="00475814">
        <w:tc>
          <w:tcPr>
            <w:tcW w:w="2410" w:type="dxa"/>
            <w:vMerge/>
          </w:tcPr>
          <w:p w14:paraId="49A72BE4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</w:tcPr>
          <w:p w14:paraId="49936BA3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Potencjalni beneficjenci</w:t>
            </w:r>
          </w:p>
        </w:tc>
        <w:tc>
          <w:tcPr>
            <w:tcW w:w="2410" w:type="dxa"/>
          </w:tcPr>
          <w:p w14:paraId="3795338B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Doradztwo stacjonarne w Biurze LGD – odpowiednio do zakresu konkursu</w:t>
            </w:r>
          </w:p>
          <w:p w14:paraId="71E7217A" w14:textId="3AD3162A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 xml:space="preserve">lub online </w:t>
            </w:r>
          </w:p>
        </w:tc>
        <w:tc>
          <w:tcPr>
            <w:tcW w:w="2693" w:type="dxa"/>
          </w:tcPr>
          <w:p w14:paraId="4AFC382F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1 okres doradczy – odpowiednio do terminów podanych w ogłoszeniu</w:t>
            </w:r>
          </w:p>
        </w:tc>
        <w:tc>
          <w:tcPr>
            <w:tcW w:w="1985" w:type="dxa"/>
          </w:tcPr>
          <w:p w14:paraId="49044E72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Odpowiednio do ilości zainteresowanych</w:t>
            </w:r>
          </w:p>
        </w:tc>
      </w:tr>
      <w:tr w:rsidR="000C4903" w:rsidRPr="00375DB6" w14:paraId="7DD28BFE" w14:textId="77777777" w:rsidTr="000C4903">
        <w:tc>
          <w:tcPr>
            <w:tcW w:w="14034" w:type="dxa"/>
            <w:gridSpan w:val="5"/>
            <w:shd w:val="clear" w:color="auto" w:fill="BDD6EE" w:themeFill="accent5" w:themeFillTint="66"/>
          </w:tcPr>
          <w:p w14:paraId="676DE40C" w14:textId="522ED3CD" w:rsidR="000C4903" w:rsidRPr="00375DB6" w:rsidRDefault="000C4903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>Uwagi</w:t>
            </w:r>
          </w:p>
        </w:tc>
      </w:tr>
      <w:tr w:rsidR="00375DB6" w:rsidRPr="00375DB6" w14:paraId="3660B5CB" w14:textId="77777777" w:rsidTr="00475814">
        <w:tc>
          <w:tcPr>
            <w:tcW w:w="2410" w:type="dxa"/>
            <w:shd w:val="clear" w:color="auto" w:fill="DEEAF6" w:themeFill="accent5" w:themeFillTint="33"/>
          </w:tcPr>
          <w:p w14:paraId="446DC8BE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1AD4DAD9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D5D0512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21E1BF54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7DDB6B81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73C3BB6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7E0BFB8D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1D7C07A0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59A2DE43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1C081599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647250A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521D74C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73BDB9B2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15CDD995" w14:textId="7E4D3A2D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  <w:shd w:val="clear" w:color="auto" w:fill="DEEAF6" w:themeFill="accent5" w:themeFillTint="33"/>
          </w:tcPr>
          <w:p w14:paraId="1520D8DC" w14:textId="77777777" w:rsidR="00375DB6" w:rsidRPr="00375DB6" w:rsidRDefault="00375DB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254589D1" w14:textId="77777777" w:rsid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566CE25F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5478CAC8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C8D69E5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10EEB94F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2B58122C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4DBDB2FB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03F1FA4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5477FD6F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251F55D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4C38BF4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1B029569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77C0F57D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EACA8C9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15B52A3F" w14:textId="77777777" w:rsidR="00475814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282C3E73" w14:textId="62227DBD" w:rsidR="00475814" w:rsidRPr="00375DB6" w:rsidRDefault="00475814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14:paraId="4464830A" w14:textId="77777777" w:rsidR="00375DB6" w:rsidRPr="00375DB6" w:rsidRDefault="00375DB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14:paraId="5F03F87D" w14:textId="77777777" w:rsidR="00375DB6" w:rsidRPr="00375DB6" w:rsidRDefault="00375DB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</w:p>
        </w:tc>
      </w:tr>
      <w:tr w:rsidR="00375DB6" w:rsidRPr="00375DB6" w14:paraId="469F12F6" w14:textId="77777777" w:rsidTr="00375DB6">
        <w:tc>
          <w:tcPr>
            <w:tcW w:w="14034" w:type="dxa"/>
            <w:gridSpan w:val="5"/>
            <w:shd w:val="clear" w:color="auto" w:fill="C5E0B3" w:themeFill="accent6" w:themeFillTint="66"/>
          </w:tcPr>
          <w:p w14:paraId="2F7F6DAB" w14:textId="6AF3DAB1" w:rsidR="00375DB6" w:rsidRPr="00252696" w:rsidRDefault="00375DB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  <w:lastRenderedPageBreak/>
              <w:t>Kampania animacyjna</w:t>
            </w:r>
          </w:p>
        </w:tc>
      </w:tr>
      <w:tr w:rsidR="00252696" w:rsidRPr="00375DB6" w14:paraId="05EB79B3" w14:textId="77777777" w:rsidTr="00475814">
        <w:tc>
          <w:tcPr>
            <w:tcW w:w="2410" w:type="dxa"/>
            <w:vMerge w:val="restart"/>
          </w:tcPr>
          <w:p w14:paraId="02910C16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W</w:t>
            </w:r>
            <w:r w:rsidRPr="00375DB6">
              <w:rPr>
                <w:rFonts w:ascii="Times New Roman" w:hAnsi="Times New Roman" w:cs="Times New Roman"/>
                <w:color w:val="002060"/>
              </w:rPr>
              <w:t>łączanie  do aktywnego udziału  we wdrażaniu LSR różnych grup społecznych, zwłaszcza tych znajdujących się w szczególnej sytuacji</w:t>
            </w:r>
          </w:p>
        </w:tc>
        <w:tc>
          <w:tcPr>
            <w:tcW w:w="4536" w:type="dxa"/>
          </w:tcPr>
          <w:p w14:paraId="5D44BF3E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Grupy w szczególnej sytuacji – ludzie młodzi</w:t>
            </w:r>
          </w:p>
        </w:tc>
        <w:tc>
          <w:tcPr>
            <w:tcW w:w="2410" w:type="dxa"/>
          </w:tcPr>
          <w:p w14:paraId="3169899D" w14:textId="4D131F8B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Spływ kajakowy</w:t>
            </w:r>
            <w:r>
              <w:rPr>
                <w:rFonts w:ascii="Times New Roman" w:eastAsia="Calibri" w:hAnsi="Times New Roman" w:cs="Times New Roman"/>
                <w:color w:val="1F497D"/>
              </w:rPr>
              <w:t xml:space="preserve"> lub rajd</w:t>
            </w:r>
            <w:r w:rsidRPr="00375DB6">
              <w:rPr>
                <w:rFonts w:ascii="Times New Roman" w:eastAsia="Calibri" w:hAnsi="Times New Roman" w:cs="Times New Roman"/>
                <w:color w:val="1F497D"/>
              </w:rPr>
              <w:t xml:space="preserve"> połączony ze sprzątaniem lasów lub rzeki Wierzycy</w:t>
            </w:r>
          </w:p>
        </w:tc>
        <w:tc>
          <w:tcPr>
            <w:tcW w:w="2693" w:type="dxa"/>
          </w:tcPr>
          <w:p w14:paraId="38D10894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2 spływy</w:t>
            </w:r>
          </w:p>
        </w:tc>
        <w:tc>
          <w:tcPr>
            <w:tcW w:w="1985" w:type="dxa"/>
          </w:tcPr>
          <w:p w14:paraId="4642E69D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20 uczestników</w:t>
            </w:r>
          </w:p>
        </w:tc>
      </w:tr>
      <w:tr w:rsidR="00252696" w:rsidRPr="00375DB6" w14:paraId="43E027C1" w14:textId="77777777" w:rsidTr="00475814">
        <w:tc>
          <w:tcPr>
            <w:tcW w:w="2410" w:type="dxa"/>
            <w:vMerge/>
          </w:tcPr>
          <w:p w14:paraId="18DC54F7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</w:tcPr>
          <w:p w14:paraId="38D74BD9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Grupy w szczególnej sytuacji – seniorzy lub osoby niepełnosprawne</w:t>
            </w:r>
          </w:p>
        </w:tc>
        <w:tc>
          <w:tcPr>
            <w:tcW w:w="2410" w:type="dxa"/>
          </w:tcPr>
          <w:p w14:paraId="36859B59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 xml:space="preserve">Spływ kajakowy lub rajd  </w:t>
            </w:r>
          </w:p>
        </w:tc>
        <w:tc>
          <w:tcPr>
            <w:tcW w:w="2693" w:type="dxa"/>
          </w:tcPr>
          <w:p w14:paraId="3EA5852A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2 spływy lub rajdy</w:t>
            </w:r>
          </w:p>
        </w:tc>
        <w:tc>
          <w:tcPr>
            <w:tcW w:w="1985" w:type="dxa"/>
          </w:tcPr>
          <w:p w14:paraId="6EF2824F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20 uczestników</w:t>
            </w:r>
          </w:p>
        </w:tc>
      </w:tr>
      <w:tr w:rsidR="00252696" w:rsidRPr="00375DB6" w14:paraId="38398328" w14:textId="77777777" w:rsidTr="00475814">
        <w:tc>
          <w:tcPr>
            <w:tcW w:w="2410" w:type="dxa"/>
            <w:vMerge/>
          </w:tcPr>
          <w:p w14:paraId="101A5326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</w:tcPr>
          <w:p w14:paraId="2D49113C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Mieszkańcy obszaru, organizacje pozarządowe, lokalni przedsiębiorcy, jednostki sektora finansów publicznych.</w:t>
            </w:r>
          </w:p>
        </w:tc>
        <w:tc>
          <w:tcPr>
            <w:tcW w:w="2410" w:type="dxa"/>
          </w:tcPr>
          <w:p w14:paraId="6726F1D4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Konferencja animacyjna połączona z wydarzeniem rekreacyjnym</w:t>
            </w:r>
          </w:p>
        </w:tc>
        <w:tc>
          <w:tcPr>
            <w:tcW w:w="2693" w:type="dxa"/>
          </w:tcPr>
          <w:p w14:paraId="5C183359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1 konferencja</w:t>
            </w:r>
          </w:p>
        </w:tc>
        <w:tc>
          <w:tcPr>
            <w:tcW w:w="1985" w:type="dxa"/>
          </w:tcPr>
          <w:p w14:paraId="2776B54D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30 uczestników</w:t>
            </w:r>
          </w:p>
        </w:tc>
      </w:tr>
      <w:tr w:rsidR="00252696" w:rsidRPr="00375DB6" w14:paraId="6ABD9FC7" w14:textId="77777777" w:rsidTr="00475814">
        <w:tc>
          <w:tcPr>
            <w:tcW w:w="2410" w:type="dxa"/>
            <w:vMerge/>
          </w:tcPr>
          <w:p w14:paraId="11BD8566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</w:tcPr>
          <w:p w14:paraId="3013E7AF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Organizacje pozarządowe, grupy w szczególnej sytuacji, OPS</w:t>
            </w:r>
          </w:p>
        </w:tc>
        <w:tc>
          <w:tcPr>
            <w:tcW w:w="2410" w:type="dxa"/>
          </w:tcPr>
          <w:p w14:paraId="06ABE4F1" w14:textId="77777777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Warsztat motywacyjny dotyczący projektów grantowych   i projektów we współpracy</w:t>
            </w:r>
          </w:p>
        </w:tc>
        <w:tc>
          <w:tcPr>
            <w:tcW w:w="2693" w:type="dxa"/>
          </w:tcPr>
          <w:p w14:paraId="0B7AA627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2 warsztaty</w:t>
            </w:r>
          </w:p>
        </w:tc>
        <w:tc>
          <w:tcPr>
            <w:tcW w:w="1985" w:type="dxa"/>
          </w:tcPr>
          <w:p w14:paraId="7B44ED46" w14:textId="583C6D58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20 uczestników</w:t>
            </w:r>
          </w:p>
        </w:tc>
      </w:tr>
      <w:tr w:rsidR="00252696" w:rsidRPr="00375DB6" w14:paraId="4318C7B1" w14:textId="77777777" w:rsidTr="00475814">
        <w:tc>
          <w:tcPr>
            <w:tcW w:w="2410" w:type="dxa"/>
            <w:vMerge/>
          </w:tcPr>
          <w:p w14:paraId="3ED7CC15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</w:tcPr>
          <w:p w14:paraId="2C5801D4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 xml:space="preserve">Grupy w szczególnej sytuacji, </w:t>
            </w:r>
          </w:p>
        </w:tc>
        <w:tc>
          <w:tcPr>
            <w:tcW w:w="2410" w:type="dxa"/>
          </w:tcPr>
          <w:p w14:paraId="474AECDE" w14:textId="3E628905" w:rsidR="00252696" w:rsidRPr="00375DB6" w:rsidRDefault="00252696" w:rsidP="00375DB6">
            <w:pPr>
              <w:spacing w:line="276" w:lineRule="auto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Wydarzenie animacyjno integrujące (piknik, giełda wymiany)</w:t>
            </w:r>
          </w:p>
        </w:tc>
        <w:tc>
          <w:tcPr>
            <w:tcW w:w="2693" w:type="dxa"/>
          </w:tcPr>
          <w:p w14:paraId="206DEC19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2 wydarzenia</w:t>
            </w:r>
          </w:p>
        </w:tc>
        <w:tc>
          <w:tcPr>
            <w:tcW w:w="1985" w:type="dxa"/>
          </w:tcPr>
          <w:p w14:paraId="340740B1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30 uczestników</w:t>
            </w:r>
          </w:p>
        </w:tc>
      </w:tr>
      <w:tr w:rsidR="00252696" w:rsidRPr="00375DB6" w14:paraId="2B3803B1" w14:textId="77777777" w:rsidTr="00475814">
        <w:tc>
          <w:tcPr>
            <w:tcW w:w="2410" w:type="dxa"/>
            <w:vMerge/>
          </w:tcPr>
          <w:p w14:paraId="435871BE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</w:tcPr>
          <w:p w14:paraId="14436998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Grupy w szczególnej sytuacji, członkowie stowarzyszenia, mieszkańcy obszaru</w:t>
            </w:r>
          </w:p>
        </w:tc>
        <w:tc>
          <w:tcPr>
            <w:tcW w:w="2410" w:type="dxa"/>
          </w:tcPr>
          <w:p w14:paraId="79369786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Wizyta studyjna</w:t>
            </w:r>
          </w:p>
        </w:tc>
        <w:tc>
          <w:tcPr>
            <w:tcW w:w="2693" w:type="dxa"/>
          </w:tcPr>
          <w:p w14:paraId="3E5FEF6F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2 wizyty</w:t>
            </w:r>
          </w:p>
        </w:tc>
        <w:tc>
          <w:tcPr>
            <w:tcW w:w="1985" w:type="dxa"/>
          </w:tcPr>
          <w:p w14:paraId="017143A1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 w:rsidRPr="00375DB6">
              <w:rPr>
                <w:rFonts w:ascii="Times New Roman" w:eastAsia="Calibri" w:hAnsi="Times New Roman" w:cs="Times New Roman"/>
                <w:color w:val="1F497D"/>
              </w:rPr>
              <w:t>40 uczestników</w:t>
            </w:r>
          </w:p>
        </w:tc>
      </w:tr>
      <w:tr w:rsidR="000C4903" w:rsidRPr="00375DB6" w14:paraId="45019646" w14:textId="77777777" w:rsidTr="000C4903">
        <w:tc>
          <w:tcPr>
            <w:tcW w:w="14034" w:type="dxa"/>
            <w:gridSpan w:val="5"/>
            <w:shd w:val="clear" w:color="auto" w:fill="BDD6EE" w:themeFill="accent5" w:themeFillTint="66"/>
          </w:tcPr>
          <w:p w14:paraId="4BF9B0D4" w14:textId="429FD00B" w:rsidR="000C4903" w:rsidRPr="00375DB6" w:rsidRDefault="000C4903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>Uwagi</w:t>
            </w:r>
          </w:p>
        </w:tc>
      </w:tr>
      <w:tr w:rsidR="00252696" w:rsidRPr="00375DB6" w14:paraId="30B2BBAB" w14:textId="77777777" w:rsidTr="00475814">
        <w:tc>
          <w:tcPr>
            <w:tcW w:w="2410" w:type="dxa"/>
            <w:shd w:val="clear" w:color="auto" w:fill="DEEAF6" w:themeFill="accent5" w:themeFillTint="33"/>
          </w:tcPr>
          <w:p w14:paraId="670F9087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B003E41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446546D4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4D92CD83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7028770E" w14:textId="13E2FEEC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4536" w:type="dxa"/>
            <w:shd w:val="clear" w:color="auto" w:fill="DEEAF6" w:themeFill="accent5" w:themeFillTint="33"/>
          </w:tcPr>
          <w:p w14:paraId="3946FDF4" w14:textId="77777777" w:rsidR="0025269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75ECEC02" w14:textId="77777777" w:rsidR="00E65DDD" w:rsidRDefault="00E65DDD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7CBF6D84" w14:textId="77777777" w:rsidR="00E65DDD" w:rsidRDefault="00E65DDD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6BE433B0" w14:textId="77777777" w:rsidR="00E65DDD" w:rsidRDefault="00E65DDD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B3CDB61" w14:textId="77777777" w:rsidR="00E65DDD" w:rsidRDefault="00E65DDD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275FFB24" w14:textId="77777777" w:rsidR="00E65DDD" w:rsidRDefault="00E65DDD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302B9381" w14:textId="77777777" w:rsidR="00E65DDD" w:rsidRDefault="00E65DDD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5B6C593B" w14:textId="283263CE" w:rsidR="00E65DDD" w:rsidRPr="00375DB6" w:rsidRDefault="00E65DDD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66A82418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14:paraId="5B7D89A1" w14:textId="77777777" w:rsidR="00252696" w:rsidRPr="00375DB6" w:rsidRDefault="00252696" w:rsidP="00375D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14:paraId="7A15C851" w14:textId="77777777" w:rsidR="00252696" w:rsidRPr="00375DB6" w:rsidRDefault="00252696" w:rsidP="00375D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497D"/>
              </w:rPr>
            </w:pPr>
          </w:p>
        </w:tc>
      </w:tr>
    </w:tbl>
    <w:p w14:paraId="088BB503" w14:textId="77777777" w:rsidR="00375DB6" w:rsidRDefault="00375DB6" w:rsidP="00E02EA7"/>
    <w:sectPr w:rsidR="00375DB6" w:rsidSect="00375D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B6"/>
    <w:rsid w:val="00067304"/>
    <w:rsid w:val="000C4903"/>
    <w:rsid w:val="00252696"/>
    <w:rsid w:val="00375DB6"/>
    <w:rsid w:val="00475814"/>
    <w:rsid w:val="00737E05"/>
    <w:rsid w:val="008E41A1"/>
    <w:rsid w:val="0095301F"/>
    <w:rsid w:val="00C74F90"/>
    <w:rsid w:val="00E02EA7"/>
    <w:rsid w:val="00E44EF2"/>
    <w:rsid w:val="00E6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03E4"/>
  <w15:chartTrackingRefBased/>
  <w15:docId w15:val="{91107B43-1263-452B-BC9D-5BC1AA83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5D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Wstęga Kociewia</dc:creator>
  <cp:keywords/>
  <dc:description/>
  <cp:lastModifiedBy>LGD Wstęga Kociewia</cp:lastModifiedBy>
  <cp:revision>9</cp:revision>
  <cp:lastPrinted>2023-04-20T08:53:00Z</cp:lastPrinted>
  <dcterms:created xsi:type="dcterms:W3CDTF">2023-04-15T11:58:00Z</dcterms:created>
  <dcterms:modified xsi:type="dcterms:W3CDTF">2023-04-26T07:02:00Z</dcterms:modified>
</cp:coreProperties>
</file>